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68B3EB7E"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72752A">
        <w:rPr>
          <w:rFonts w:asciiTheme="minorHAnsi" w:hAnsiTheme="minorHAnsi" w:cstheme="minorHAnsi"/>
          <w:sz w:val="24"/>
          <w:szCs w:val="24"/>
          <w:highlight w:val="yellow"/>
        </w:rPr>
        <w:t xml:space="preserve"> </w:t>
      </w:r>
      <w:r w:rsidR="0072752A" w:rsidRPr="0072752A">
        <w:rPr>
          <w:rFonts w:asciiTheme="minorHAnsi" w:hAnsiTheme="minorHAnsi" w:cstheme="minorHAnsi"/>
          <w:i/>
          <w:iCs/>
          <w:sz w:val="24"/>
          <w:szCs w:val="24"/>
          <w:highlight w:val="yellow"/>
        </w:rPr>
        <w:t>(doplní účastník)</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450222D9"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72752A">
        <w:rPr>
          <w:rFonts w:asciiTheme="minorHAnsi" w:hAnsiTheme="minorHAnsi" w:cstheme="minorHAnsi"/>
          <w:highlight w:val="yellow"/>
        </w:rPr>
        <w:t>………………………….</w:t>
      </w:r>
      <w:r w:rsidR="000D39D5">
        <w:rPr>
          <w:rFonts w:asciiTheme="minorHAnsi" w:hAnsiTheme="minorHAnsi" w:cstheme="minorHAnsi"/>
        </w:rPr>
        <w:t>, email:</w:t>
      </w:r>
      <w:r w:rsidR="0072752A">
        <w:rPr>
          <w:rFonts w:asciiTheme="minorHAnsi" w:hAnsiTheme="minorHAnsi" w:cstheme="minorHAnsi"/>
        </w:rPr>
        <w:t xml:space="preserve"> </w:t>
      </w:r>
      <w:r w:rsidR="000D39D5" w:rsidRPr="0072752A">
        <w:rPr>
          <w:rFonts w:asciiTheme="minorHAnsi" w:hAnsiTheme="minorHAnsi" w:cstheme="minorHAnsi"/>
          <w:highlight w:val="yellow"/>
        </w:rPr>
        <w:t>………………..</w:t>
      </w:r>
      <w:r w:rsidR="000D39D5">
        <w:rPr>
          <w:rFonts w:asciiTheme="minorHAnsi" w:hAnsiTheme="minorHAnsi" w:cstheme="minorHAnsi"/>
        </w:rPr>
        <w:t xml:space="preserve">, tel.: </w:t>
      </w:r>
      <w:r w:rsidR="000D39D5" w:rsidRPr="0072752A">
        <w:rPr>
          <w:rFonts w:asciiTheme="minorHAnsi" w:hAnsiTheme="minorHAnsi" w:cstheme="minorHAnsi"/>
          <w:highlight w:val="yellow"/>
        </w:rPr>
        <w:t>……………………</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69DFB83C" w14:textId="6D4A85A1" w:rsidR="00B1095C" w:rsidRPr="0072752A" w:rsidRDefault="0097369B" w:rsidP="0072752A">
      <w:pPr>
        <w:widowControl w:val="0"/>
        <w:suppressAutoHyphens/>
        <w:spacing w:line="240" w:lineRule="auto"/>
        <w:jc w:val="both"/>
        <w:rPr>
          <w:rFonts w:asciiTheme="minorHAnsi" w:hAnsi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sidR="0072752A" w:rsidRPr="0072752A">
        <w:rPr>
          <w:b/>
          <w:bCs/>
        </w:rPr>
        <w:t>Biochemický automatický přístroj a upgrade analytické linky</w:t>
      </w:r>
      <w:r w:rsidR="004F0B22">
        <w:rPr>
          <w:b/>
          <w:b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38B40739" w14:textId="5EF55A89" w:rsidR="00DD5826" w:rsidRPr="0072752A" w:rsidRDefault="00E33843" w:rsidP="0072752A">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4D9C863B"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spotřebního materiálu k</w:t>
      </w:r>
      <w:r w:rsidR="004D6EC4">
        <w:rPr>
          <w:rFonts w:cs="Calibri"/>
        </w:rPr>
        <w:t> biochemickému automatickému přístroji</w:t>
      </w:r>
      <w:r w:rsidR="00DD5826" w:rsidRPr="00DD5826">
        <w:rPr>
          <w:rFonts w:cs="Calibri"/>
        </w:rPr>
        <w:t xml:space="preserve"> </w:t>
      </w:r>
      <w:r w:rsidR="003274AB">
        <w:rPr>
          <w:rFonts w:cs="Calibri"/>
        </w:rPr>
        <w:t>(dále také „zboží“</w:t>
      </w:r>
      <w:r w:rsidR="001C488D">
        <w:rPr>
          <w:rFonts w:cs="Calibri"/>
        </w:rPr>
        <w:t xml:space="preserve"> nebo „spotřební materiál“</w:t>
      </w:r>
      <w:r w:rsidR="003274AB">
        <w:rPr>
          <w:rFonts w:cs="Calibri"/>
        </w:rPr>
        <w:t>)</w:t>
      </w:r>
      <w:r w:rsidR="000C71C0">
        <w:rPr>
          <w:rFonts w:cs="Calibri"/>
        </w:rPr>
        <w:t xml:space="preserve">. </w:t>
      </w:r>
      <w:r w:rsidR="00D32881" w:rsidRPr="00D32881">
        <w:rPr>
          <w:rFonts w:cs="Calibri"/>
        </w:rPr>
        <w:t xml:space="preserve">Soupis jednotlivých položek spotřebního materiálu je uvedený v příloze č. 1 </w:t>
      </w:r>
      <w:r w:rsidR="00D32881">
        <w:rPr>
          <w:rFonts w:cs="Calibri"/>
        </w:rPr>
        <w:t>této</w:t>
      </w:r>
      <w:r w:rsidR="00D32881" w:rsidRPr="00D32881">
        <w:rPr>
          <w:rFonts w:cs="Calibri"/>
        </w:rPr>
        <w:t xml:space="preserve"> smlouvy - Dílčí specifikace ceny</w:t>
      </w:r>
      <w:r w:rsidRPr="00E33843">
        <w:rPr>
          <w:rFonts w:cs="Calibri"/>
        </w:rPr>
        <w:t>.</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zakázky - </w:t>
      </w:r>
      <w:r w:rsidR="00624652" w:rsidRPr="00A32607">
        <w:rPr>
          <w:rFonts w:cs="Calibri"/>
        </w:rPr>
        <w:t>spotřební</w:t>
      </w:r>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4CD01360"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typ (druh) a obchodní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1E265755" w14:textId="77777777" w:rsidR="000E513E" w:rsidRPr="00996CF5" w:rsidRDefault="000E513E"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2752A">
      <w:pPr>
        <w:spacing w:after="120"/>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0EDC4B6D" w14:textId="7BE54530" w:rsidR="00B35ECC" w:rsidRPr="00B35ECC" w:rsidRDefault="00B35ECC" w:rsidP="00B35ECC">
      <w:pPr>
        <w:suppressAutoHyphens/>
        <w:spacing w:after="0"/>
        <w:ind w:firstLine="708"/>
        <w:rPr>
          <w:rFonts w:eastAsia="Calibri" w:cs="Arial"/>
          <w:b/>
          <w:bCs/>
          <w:lang w:eastAsia="en-US"/>
        </w:rPr>
      </w:pPr>
      <w:bookmarkStart w:id="0" w:name="_Hlk67640438"/>
      <w:r w:rsidRPr="00B35ECC">
        <w:rPr>
          <w:rFonts w:eastAsia="Calibri" w:cs="Arial"/>
          <w:b/>
          <w:bCs/>
          <w:lang w:eastAsia="en-US"/>
        </w:rPr>
        <w:t>Pardubická nemocnice, Kyjevská 44, 532 03 Pardubice (OK</w:t>
      </w:r>
      <w:r w:rsidR="004D6EC4">
        <w:rPr>
          <w:rFonts w:eastAsia="Calibri" w:cs="Arial"/>
          <w:b/>
          <w:bCs/>
          <w:lang w:eastAsia="en-US"/>
        </w:rPr>
        <w:t>BD</w:t>
      </w:r>
      <w:r w:rsidRPr="00B35ECC">
        <w:rPr>
          <w:rFonts w:eastAsia="Calibri" w:cs="Arial"/>
          <w:b/>
          <w:bCs/>
          <w:lang w:eastAsia="en-US"/>
        </w:rPr>
        <w:t>)</w:t>
      </w:r>
    </w:p>
    <w:bookmarkEnd w:id="0"/>
    <w:p w14:paraId="20CAB20E" w14:textId="31C535F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A32607">
        <w:rPr>
          <w:b/>
          <w:bCs/>
        </w:rPr>
        <w:t>8</w:t>
      </w:r>
      <w:r w:rsidR="00D43244" w:rsidRPr="00920126">
        <w:rPr>
          <w:b/>
          <w:bCs/>
        </w:rPr>
        <w:t xml:space="preserve"> </w:t>
      </w:r>
      <w:r w:rsidR="000D39D5">
        <w:rPr>
          <w:b/>
          <w:bCs/>
        </w:rPr>
        <w:t>let</w:t>
      </w:r>
      <w:r w:rsidR="00F95358" w:rsidRPr="00920126">
        <w:t>.</w:t>
      </w:r>
    </w:p>
    <w:p w14:paraId="12470878" w14:textId="07F694C8"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 </w:t>
      </w:r>
      <w:r w:rsidR="004D6EC4">
        <w:rPr>
          <w:rFonts w:cs="Calibri"/>
        </w:rPr>
        <w:t>přístroj</w:t>
      </w:r>
      <w:r w:rsidR="0072752A">
        <w:rPr>
          <w:rFonts w:cs="Calibri"/>
        </w:rPr>
        <w:t>ové techniky</w:t>
      </w:r>
      <w:r w:rsidR="00C7469D" w:rsidRPr="00C32152">
        <w:rPr>
          <w:rFonts w:cs="Calibri"/>
        </w:rPr>
        <w:t>.</w:t>
      </w:r>
      <w:r w:rsidR="00C7469D">
        <w:rPr>
          <w:rFonts w:cs="Calibri"/>
        </w:rPr>
        <w:t xml:space="preserve"> </w:t>
      </w:r>
    </w:p>
    <w:p w14:paraId="51EB63F3" w14:textId="21B5BC63"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 xml:space="preserve">2.4 </w:t>
      </w:r>
      <w:r>
        <w:rPr>
          <w:b/>
        </w:rPr>
        <w:tab/>
      </w:r>
      <w:r w:rsidR="00A178B2" w:rsidRPr="003C1150">
        <w:rPr>
          <w:b/>
        </w:rPr>
        <w:t xml:space="preserve">Dodací lhůta činí </w:t>
      </w:r>
      <w:r w:rsidR="005D6BA1" w:rsidRPr="003C1150">
        <w:rPr>
          <w:b/>
        </w:rPr>
        <w:t>10</w:t>
      </w:r>
      <w:r w:rsidR="00A178B2" w:rsidRPr="003C1150">
        <w:rPr>
          <w:b/>
        </w:rPr>
        <w:t xml:space="preserve"> pracovní</w:t>
      </w:r>
      <w:r w:rsidR="005D6BA1" w:rsidRPr="003C1150">
        <w:rPr>
          <w:b/>
        </w:rPr>
        <w:t>ch</w:t>
      </w:r>
      <w:r w:rsidR="00A178B2" w:rsidRPr="003C1150">
        <w:rPr>
          <w:b/>
        </w:rPr>
        <w:t xml:space="preserve"> d</w:t>
      </w:r>
      <w:r w:rsidR="000F15C8" w:rsidRPr="003C1150">
        <w:rPr>
          <w:b/>
        </w:rPr>
        <w:t>n</w:t>
      </w:r>
      <w:r w:rsidR="005D6BA1" w:rsidRPr="003C1150">
        <w:rPr>
          <w:b/>
        </w:rPr>
        <w:t>ů</w:t>
      </w:r>
      <w:r w:rsidR="00A178B2" w:rsidRPr="003C1150">
        <w:rPr>
          <w:b/>
        </w:rPr>
        <w:t xml:space="preserve"> od doručení dílčí objednávky prodávajícímu</w:t>
      </w:r>
      <w:r w:rsidR="00A178B2" w:rsidRPr="00920126">
        <w:t>.</w:t>
      </w:r>
      <w:r w:rsidR="00A178B2" w:rsidRPr="0090742B">
        <w:t xml:space="preserve"> </w:t>
      </w:r>
    </w:p>
    <w:p w14:paraId="5C2C4052" w14:textId="77777777" w:rsidR="000E513E" w:rsidRPr="0072752A" w:rsidRDefault="000E513E" w:rsidP="0072752A">
      <w:pPr>
        <w:autoSpaceDE w:val="0"/>
        <w:autoSpaceDN w:val="0"/>
        <w:adjustRightInd w:val="0"/>
        <w:spacing w:after="0" w:line="240" w:lineRule="auto"/>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070D56F0" w14:textId="1511E843" w:rsidR="00F478C8" w:rsidRPr="0072752A" w:rsidRDefault="00E32414" w:rsidP="0072752A">
      <w:pPr>
        <w:spacing w:after="120"/>
        <w:jc w:val="center"/>
        <w:rPr>
          <w:b/>
          <w:bCs/>
        </w:rPr>
      </w:pPr>
      <w:r w:rsidRPr="001F780C">
        <w:rPr>
          <w:b/>
          <w:bCs/>
        </w:rPr>
        <w:t>Dodací podmínky</w:t>
      </w:r>
    </w:p>
    <w:p w14:paraId="440F32EC" w14:textId="2D740A5E" w:rsidR="00BD69BC" w:rsidRDefault="000228BB" w:rsidP="00783D42">
      <w:pPr>
        <w:spacing w:after="0" w:line="240" w:lineRule="auto"/>
        <w:ind w:left="705" w:hanging="705"/>
        <w:jc w:val="both"/>
      </w:pPr>
      <w:r w:rsidRPr="00496559">
        <w:rPr>
          <w:b/>
        </w:rPr>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AC18E33" w14:textId="6DDD1CA6" w:rsidR="00DC3896" w:rsidRPr="0072752A" w:rsidRDefault="00AE6D5A" w:rsidP="0072752A">
      <w:pPr>
        <w:tabs>
          <w:tab w:val="left" w:pos="709"/>
        </w:tabs>
        <w:jc w:val="both"/>
        <w:rPr>
          <w:rFonts w:asciiTheme="minorHAnsi" w:hAnsiTheme="minorHAnsi" w:cstheme="minorHAnsi"/>
          <w:i/>
          <w:iCs/>
        </w:rPr>
      </w:pPr>
      <w:r w:rsidRPr="00AE6D5A">
        <w:rPr>
          <w:rFonts w:asciiTheme="minorHAnsi" w:hAnsiTheme="minorHAnsi" w:cstheme="minorHAnsi"/>
          <w:b/>
          <w:bCs/>
        </w:rPr>
        <w:lastRenderedPageBreak/>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r w:rsidR="0072752A" w:rsidRPr="0072752A">
        <w:rPr>
          <w:rFonts w:asciiTheme="minorHAnsi" w:hAnsiTheme="minorHAnsi" w:cstheme="minorHAnsi"/>
          <w:highlight w:val="yellow"/>
        </w:rPr>
        <w:t>(doplní účastník)</w:t>
      </w:r>
    </w:p>
    <w:p w14:paraId="7E7914D0" w14:textId="77777777" w:rsidR="00DC3896" w:rsidRPr="00F65FBC" w:rsidRDefault="00DC3896" w:rsidP="0072752A">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6206B0C" w14:textId="77777777" w:rsidR="00DC3896" w:rsidRPr="00A415D8" w:rsidRDefault="00DC3896" w:rsidP="0072752A">
      <w:pPr>
        <w:spacing w:after="0"/>
        <w:ind w:left="567"/>
        <w:rPr>
          <w:rFonts w:asciiTheme="minorHAnsi" w:hAnsiTheme="minorHAnsi" w:cstheme="minorHAnsi"/>
        </w:rPr>
      </w:pPr>
      <w:r>
        <w:rPr>
          <w:rFonts w:cs="Arial"/>
        </w:rPr>
        <w:t xml:space="preserve"> </w:t>
      </w:r>
      <w:r>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4B76C06" w14:textId="77777777" w:rsidR="00DC3896" w:rsidRDefault="00DC3896" w:rsidP="0072752A">
      <w:pPr>
        <w:spacing w:after="0"/>
        <w:ind w:left="567"/>
        <w:rPr>
          <w:rFonts w:cs="Arial"/>
        </w:rPr>
      </w:pPr>
      <w:r>
        <w:rPr>
          <w:rFonts w:cs="Arial"/>
        </w:rPr>
        <w:t xml:space="preserve"> </w:t>
      </w:r>
      <w:r>
        <w:rPr>
          <w:rFonts w:cs="Arial"/>
        </w:rPr>
        <w:tab/>
      </w:r>
      <w:r w:rsidRPr="00A415D8">
        <w:rPr>
          <w:rFonts w:cs="Arial"/>
        </w:rPr>
        <w:t xml:space="preserve">Mobil:  </w:t>
      </w:r>
      <w:r>
        <w:rPr>
          <w:rFonts w:cs="Arial"/>
        </w:rPr>
        <w:t xml:space="preserve">                   </w:t>
      </w:r>
      <w:r w:rsidRPr="00776A36">
        <w:rPr>
          <w:rFonts w:cs="Arial"/>
          <w:highlight w:val="yellow"/>
        </w:rPr>
        <w:t>………………………………</w:t>
      </w:r>
    </w:p>
    <w:p w14:paraId="2BB7F2A7" w14:textId="77777777" w:rsidR="00DC3896" w:rsidRDefault="00DC3896" w:rsidP="0072752A">
      <w:pPr>
        <w:spacing w:after="0"/>
        <w:ind w:left="567"/>
        <w:rPr>
          <w:rFonts w:cs="Arial"/>
        </w:rPr>
      </w:pPr>
      <w:r>
        <w:rPr>
          <w:rFonts w:cs="Arial"/>
        </w:rPr>
        <w:t xml:space="preserve"> </w:t>
      </w:r>
      <w:r>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4F3C41C0" w14:textId="4AE4CDA7" w:rsidR="000228BB" w:rsidRPr="00BD69BC" w:rsidRDefault="000228BB" w:rsidP="00BD69BC">
      <w:pPr>
        <w:spacing w:after="0" w:line="240" w:lineRule="auto"/>
        <w:ind w:left="705" w:hanging="705"/>
        <w:jc w:val="both"/>
      </w:pPr>
    </w:p>
    <w:p w14:paraId="55B35218" w14:textId="69D84E7A"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6450F51" w14:textId="57ECD2B0"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0C31DAC0"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r w:rsidR="00414D83" w:rsidRPr="002137F3">
        <w:t>podepíš</w:t>
      </w:r>
      <w:r w:rsidR="00414D83">
        <w:t>ou</w:t>
      </w:r>
      <w:r w:rsidR="00414D83" w:rsidRPr="002137F3">
        <w:t xml:space="preserve"> </w:t>
      </w:r>
      <w:r w:rsidRPr="002137F3">
        <w:t>a opatří otisky razítek oprávnění zástupci pověření k předání a převzetí zboží. Takto opatřený dodací list slouží jako doklad o řádném předání a převzetí.</w:t>
      </w:r>
    </w:p>
    <w:p w14:paraId="7C147F84" w14:textId="252C9611" w:rsidR="000E513E" w:rsidRPr="001F780C" w:rsidRDefault="000228BB" w:rsidP="0072752A">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2F328F80" w:rsidR="00D713D6" w:rsidRDefault="00B60230" w:rsidP="00310C41">
      <w:pPr>
        <w:pStyle w:val="Zkladntextodsazen3"/>
        <w:spacing w:after="0" w:line="240" w:lineRule="auto"/>
        <w:ind w:left="705" w:hanging="705"/>
        <w:jc w:val="both"/>
        <w:rPr>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72752A">
        <w:rPr>
          <w:rFonts w:eastAsia="SimSun" w:cs="Calibri"/>
          <w:kern w:val="1"/>
          <w:sz w:val="22"/>
          <w:szCs w:val="22"/>
          <w:lang w:eastAsia="hi-IN" w:bidi="hi-IN"/>
        </w:rPr>
        <w:t xml:space="preserve"> </w:t>
      </w:r>
      <w:r w:rsidR="0072752A" w:rsidRPr="0072752A">
        <w:rPr>
          <w:rFonts w:eastAsia="SimSun" w:cs="Calibri"/>
          <w:i/>
          <w:iCs/>
          <w:kern w:val="1"/>
          <w:sz w:val="22"/>
          <w:szCs w:val="22"/>
          <w:highlight w:val="lightGray"/>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125FE32A" w:rsidR="00B60230" w:rsidRPr="00B60230" w:rsidRDefault="00B60230" w:rsidP="0072752A">
      <w:pPr>
        <w:widowControl w:val="0"/>
        <w:tabs>
          <w:tab w:val="left" w:pos="0"/>
          <w:tab w:val="left" w:pos="360"/>
        </w:tabs>
        <w:suppressAutoHyphens/>
        <w:spacing w:after="60" w:line="36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72752A">
        <w:rPr>
          <w:rFonts w:eastAsia="SimSun" w:cs="Calibri"/>
          <w:b/>
          <w:kern w:val="1"/>
          <w:lang w:eastAsia="hi-IN" w:bidi="hi-IN"/>
        </w:rPr>
        <w:t>……………………………</w:t>
      </w:r>
      <w:r w:rsidRPr="00B60230">
        <w:rPr>
          <w:rFonts w:eastAsia="SimSun" w:cs="Calibri"/>
          <w:i/>
          <w:kern w:val="1"/>
          <w:highlight w:val="yellow"/>
          <w:lang w:eastAsia="hi-IN" w:bidi="hi-IN"/>
        </w:rPr>
        <w:t xml:space="preserve"> </w:t>
      </w:r>
    </w:p>
    <w:p w14:paraId="7C47CD0A" w14:textId="039A86D2" w:rsidR="00B60230" w:rsidRPr="00B60230" w:rsidRDefault="00467CB4" w:rsidP="0072752A">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72752A">
        <w:rPr>
          <w:rFonts w:eastAsia="SimSun" w:cs="Calibri"/>
          <w:b/>
          <w:kern w:val="1"/>
          <w:lang w:eastAsia="hi-IN" w:bidi="hi-IN"/>
        </w:rPr>
        <w:t>……………………………</w:t>
      </w:r>
      <w:r w:rsidR="00B60230" w:rsidRPr="00B60230">
        <w:rPr>
          <w:rFonts w:eastAsia="SimSun" w:cs="Calibri"/>
          <w:i/>
          <w:kern w:val="1"/>
          <w:highlight w:val="yellow"/>
          <w:lang w:eastAsia="hi-IN" w:bidi="hi-IN"/>
        </w:rPr>
        <w:t xml:space="preserve"> </w:t>
      </w:r>
    </w:p>
    <w:p w14:paraId="6991EE58" w14:textId="5A32E17B" w:rsidR="00B60230" w:rsidRPr="00B60230" w:rsidRDefault="00467CB4" w:rsidP="0072752A">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72752A">
        <w:rPr>
          <w:rFonts w:eastAsia="SimSun" w:cs="Calibri"/>
          <w:b/>
          <w:kern w:val="1"/>
          <w:lang w:eastAsia="hi-IN" w:bidi="hi-IN"/>
        </w:rPr>
        <w:t>……………………………</w:t>
      </w:r>
      <w:r w:rsidR="00B60230" w:rsidRPr="00B60230">
        <w:rPr>
          <w:rFonts w:eastAsia="SimSun" w:cs="Calibri"/>
          <w:i/>
          <w:kern w:val="1"/>
          <w:highlight w:val="yellow"/>
          <w:lang w:eastAsia="hi-IN" w:bidi="hi-IN"/>
        </w:rPr>
        <w:t xml:space="preserve"> </w:t>
      </w:r>
    </w:p>
    <w:p w14:paraId="10FB8584" w14:textId="6D01188D" w:rsidR="00D713D6" w:rsidRPr="00B60230" w:rsidRDefault="00B60230" w:rsidP="0072752A">
      <w:pPr>
        <w:widowControl w:val="0"/>
        <w:tabs>
          <w:tab w:val="left" w:pos="0"/>
          <w:tab w:val="left" w:pos="360"/>
        </w:tabs>
        <w:suppressAutoHyphens/>
        <w:spacing w:after="60" w:line="360" w:lineRule="auto"/>
        <w:ind w:left="1440"/>
        <w:jc w:val="both"/>
        <w:rPr>
          <w:rFonts w:eastAsia="SimSun" w:cs="Calibri"/>
          <w:i/>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72752A">
        <w:rPr>
          <w:rFonts w:eastAsia="SimSun" w:cs="Calibri"/>
          <w:b/>
          <w:kern w:val="1"/>
          <w:lang w:eastAsia="hi-IN" w:bidi="hi-IN"/>
        </w:rPr>
        <w:t>……………………………</w:t>
      </w:r>
      <w:r w:rsidRPr="00B60230">
        <w:rPr>
          <w:rFonts w:eastAsia="SimSun" w:cs="Calibri"/>
          <w:i/>
          <w:kern w:val="1"/>
          <w:highlight w:val="yellow"/>
          <w:lang w:eastAsia="hi-IN" w:bidi="hi-IN"/>
        </w:rPr>
        <w:t xml:space="preserve">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500F3DA" w14:textId="759BA871" w:rsidR="00372673" w:rsidRDefault="00372673" w:rsidP="00C32152">
      <w:pPr>
        <w:spacing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F99FD8B" w14:textId="77777777" w:rsidR="0001260D" w:rsidRPr="00990158" w:rsidRDefault="0001260D" w:rsidP="0001260D">
      <w:pPr>
        <w:spacing w:line="240" w:lineRule="auto"/>
        <w:jc w:val="both"/>
      </w:pPr>
    </w:p>
    <w:p w14:paraId="24CDB71A" w14:textId="77777777" w:rsidR="00D713D6" w:rsidRPr="001F780C" w:rsidRDefault="00D713D6" w:rsidP="00990158">
      <w:pPr>
        <w:spacing w:after="0" w:line="240" w:lineRule="auto"/>
        <w:jc w:val="center"/>
        <w:rPr>
          <w:b/>
          <w:bCs/>
        </w:rPr>
      </w:pPr>
      <w:r w:rsidRPr="001F780C">
        <w:rPr>
          <w:b/>
          <w:bCs/>
        </w:rPr>
        <w:lastRenderedPageBreak/>
        <w:t>Článek 5</w:t>
      </w:r>
    </w:p>
    <w:p w14:paraId="35A093D2" w14:textId="43E1232F" w:rsidR="00D713D6" w:rsidRPr="00D32881" w:rsidRDefault="00D713D6" w:rsidP="00D32881">
      <w:pPr>
        <w:spacing w:after="120" w:line="240" w:lineRule="auto"/>
        <w:jc w:val="center"/>
        <w:rPr>
          <w:b/>
          <w:bCs/>
        </w:rPr>
      </w:pPr>
      <w:r w:rsidRPr="001F780C">
        <w:rPr>
          <w:b/>
          <w:bCs/>
        </w:rPr>
        <w:t>Platební podmínky</w:t>
      </w:r>
    </w:p>
    <w:p w14:paraId="6C53B2FC" w14:textId="22C4EA03"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700B5BC"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hyperlink r:id="rId8" w:history="1">
        <w:r w:rsidR="00D32881" w:rsidRPr="005F7204">
          <w:rPr>
            <w:rStyle w:val="Hypertextovodkaz"/>
          </w:rPr>
          <w:t>fakturace@nempk.cz</w:t>
        </w:r>
      </w:hyperlink>
      <w:r w:rsidR="00990158">
        <w:t>.</w:t>
      </w:r>
      <w:r w:rsidR="00D32881">
        <w:t xml:space="preserve"> Tato e-mailová adresa je určena výhradně pro potřeby fakturace.</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F10D71D" w14:textId="118896B7" w:rsidR="000E513E" w:rsidRDefault="00D713D6" w:rsidP="0072752A">
      <w:pPr>
        <w:spacing w:after="0" w:line="240" w:lineRule="auto"/>
        <w:ind w:left="705" w:hanging="705"/>
        <w:jc w:val="both"/>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00AA227" w14:textId="77777777" w:rsidR="0072752A" w:rsidRPr="001F780C" w:rsidRDefault="0072752A" w:rsidP="0072752A">
      <w:pPr>
        <w:spacing w:after="0" w:line="240" w:lineRule="auto"/>
        <w:ind w:left="705" w:hanging="705"/>
        <w:jc w:val="both"/>
      </w:pP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0662F1D7" w14:textId="6AB7CBAB" w:rsidR="00D713D6" w:rsidRPr="001F780C" w:rsidRDefault="00D713D6" w:rsidP="0072752A">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3572FED2" w14:textId="77777777" w:rsidR="000E513E" w:rsidRPr="001F780C" w:rsidRDefault="000E513E"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lastRenderedPageBreak/>
        <w:t>Článek 7</w:t>
      </w:r>
    </w:p>
    <w:p w14:paraId="166D76B0" w14:textId="54F3005A" w:rsidR="00D713D6" w:rsidRPr="001F780C" w:rsidRDefault="00D713D6" w:rsidP="0072752A">
      <w:pPr>
        <w:spacing w:after="120" w:line="240" w:lineRule="auto"/>
        <w:jc w:val="center"/>
        <w:rPr>
          <w:b/>
        </w:rPr>
      </w:pPr>
      <w:r w:rsidRPr="001F780C">
        <w:rPr>
          <w:b/>
        </w:rPr>
        <w:t>Záruka za jakost a reklamační podmínky</w:t>
      </w:r>
    </w:p>
    <w:p w14:paraId="36FC584B" w14:textId="4ED2F71A"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975737" w:rsidRPr="007D4423">
        <w:rPr>
          <w:rFonts w:eastAsia="SimSun" w:cs="Calibri"/>
          <w:kern w:val="1"/>
          <w:lang w:eastAsia="hi-IN" w:bidi="hi-IN"/>
        </w:rPr>
        <w:t>Prodávající poskytuje na zboží záruku v</w:t>
      </w:r>
      <w:r w:rsidR="00975737">
        <w:rPr>
          <w:rFonts w:eastAsia="SimSun" w:cs="Calibri"/>
          <w:kern w:val="1"/>
          <w:lang w:eastAsia="hi-IN" w:bidi="hi-IN"/>
        </w:rPr>
        <w:t> </w:t>
      </w:r>
      <w:r w:rsidR="00975737" w:rsidRPr="00A62598">
        <w:rPr>
          <w:rFonts w:eastAsia="SimSun" w:cs="Calibri"/>
          <w:kern w:val="1"/>
          <w:lang w:eastAsia="hi-IN" w:bidi="hi-IN"/>
        </w:rPr>
        <w:t>délce</w:t>
      </w:r>
      <w:r w:rsidR="00975737">
        <w:rPr>
          <w:rFonts w:eastAsia="SimSun" w:cs="Calibri"/>
          <w:kern w:val="1"/>
          <w:lang w:eastAsia="hi-IN" w:bidi="hi-IN"/>
        </w:rPr>
        <w:t xml:space="preserve"> …………………. (</w:t>
      </w:r>
      <w:r w:rsidR="00975737" w:rsidRPr="00B20557">
        <w:rPr>
          <w:rFonts w:eastAsia="SimSun" w:cs="Calibri"/>
          <w:i/>
          <w:iCs/>
          <w:kern w:val="1"/>
          <w:highlight w:val="yellow"/>
          <w:lang w:eastAsia="hi-IN" w:bidi="hi-IN"/>
        </w:rPr>
        <w:t>doplní dodavatel - min. 24 měsíců</w:t>
      </w:r>
      <w:r w:rsidR="00975737">
        <w:rPr>
          <w:rFonts w:eastAsia="SimSun" w:cs="Calibri"/>
          <w:kern w:val="1"/>
          <w:lang w:eastAsia="hi-IN" w:bidi="hi-IN"/>
        </w:rPr>
        <w:t>)</w:t>
      </w:r>
      <w:r w:rsidR="00975737" w:rsidRPr="00A62598">
        <w:rPr>
          <w:rFonts w:eastAsia="SimSun" w:cs="Calibri"/>
          <w:kern w:val="1"/>
          <w:lang w:eastAsia="hi-IN" w:bidi="hi-IN"/>
        </w:rPr>
        <w:t>, plynoucí</w:t>
      </w:r>
      <w:r w:rsidR="00975737" w:rsidRPr="007D4423">
        <w:rPr>
          <w:rFonts w:eastAsia="SimSun" w:cs="Calibri"/>
          <w:kern w:val="1"/>
          <w:lang w:eastAsia="hi-IN" w:bidi="hi-IN"/>
        </w:rPr>
        <w:t xml:space="preserve"> od data jeho převzetí ze strany kupujícího.</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25DD1E24"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49A204AE"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0EF38426"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Záruční doba neběží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54A983AD" w14:textId="77777777" w:rsidR="000E513E" w:rsidRPr="001F780C" w:rsidRDefault="000E513E"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2F865BC9" w:rsidR="00D713D6" w:rsidRPr="001F780C" w:rsidRDefault="00D713D6" w:rsidP="0072752A">
      <w:pPr>
        <w:spacing w:after="120" w:line="240" w:lineRule="auto"/>
        <w:jc w:val="center"/>
        <w:rPr>
          <w:b/>
        </w:rPr>
      </w:pPr>
      <w:r w:rsidRPr="001F780C">
        <w:rPr>
          <w:b/>
        </w:rPr>
        <w:t>Přechod vlastnictví a nebezpečí škody</w:t>
      </w:r>
    </w:p>
    <w:p w14:paraId="4EE32808" w14:textId="23865505"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D312D0">
        <w:t>převzetí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151C9E5D" w14:textId="673A6B0E" w:rsidR="000E513E" w:rsidRDefault="00D713D6" w:rsidP="0072752A">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4729E734" w14:textId="77777777" w:rsidR="0072752A" w:rsidRPr="0072752A" w:rsidRDefault="0072752A" w:rsidP="0072752A">
      <w:pPr>
        <w:spacing w:after="0" w:line="240" w:lineRule="auto"/>
        <w:ind w:left="705" w:hanging="705"/>
        <w:jc w:val="both"/>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2D979E0B" w:rsidR="00D713D6" w:rsidRPr="0072752A" w:rsidRDefault="00D713D6" w:rsidP="0072752A">
      <w:pPr>
        <w:spacing w:after="120" w:line="240" w:lineRule="auto"/>
        <w:jc w:val="center"/>
        <w:rPr>
          <w:b/>
          <w:bCs/>
        </w:rPr>
      </w:pPr>
      <w:r w:rsidRPr="001F780C">
        <w:rPr>
          <w:b/>
          <w:bCs/>
        </w:rPr>
        <w:t>Smluvní pokuty</w:t>
      </w:r>
    </w:p>
    <w:p w14:paraId="2A1DE8AB" w14:textId="5A1C92E9"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w:t>
      </w:r>
      <w:r w:rsidR="002C3F81">
        <w:t>zboží</w:t>
      </w:r>
      <w:r w:rsidR="002C3F81" w:rsidRPr="001F780C">
        <w:t xml:space="preserve"> </w:t>
      </w:r>
      <w:r w:rsidRPr="001F780C">
        <w:t xml:space="preserve">za každý </w:t>
      </w:r>
      <w:r w:rsidR="00D312D0">
        <w:t xml:space="preserve">i </w:t>
      </w:r>
      <w:r w:rsidRPr="001F780C">
        <w:t>započatý den prodlení</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64821774" w:rsidR="00D713D6" w:rsidRPr="001F780C" w:rsidRDefault="00D713D6" w:rsidP="009A6A45">
      <w:pPr>
        <w:tabs>
          <w:tab w:val="num" w:pos="0"/>
        </w:tabs>
        <w:spacing w:after="0" w:line="240" w:lineRule="auto"/>
        <w:ind w:left="705" w:hanging="705"/>
        <w:jc w:val="both"/>
      </w:pPr>
      <w:r>
        <w:rPr>
          <w:b/>
        </w:rPr>
        <w:t>9.</w:t>
      </w:r>
      <w:r w:rsidR="009677AD">
        <w:rPr>
          <w:b/>
        </w:rPr>
        <w:t>3</w:t>
      </w:r>
      <w:r w:rsidRPr="001F780C">
        <w:rPr>
          <w:b/>
        </w:rPr>
        <w:tab/>
      </w:r>
      <w:r w:rsidRPr="001F780C">
        <w:t>V případě prodlení prodávajícího s odstraněním vad zboží ve lhůtě dle čl. 7.</w:t>
      </w:r>
      <w:r w:rsidR="00FF2373">
        <w:t>5</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w:t>
      </w:r>
      <w:r w:rsidR="0029066A">
        <w:t xml:space="preserve">za každý i </w:t>
      </w:r>
      <w:r w:rsidRPr="001F780C">
        <w:t>započatý den prodlení.</w:t>
      </w:r>
    </w:p>
    <w:p w14:paraId="799A28AB" w14:textId="731F04A0" w:rsidR="00D713D6" w:rsidRPr="001F780C" w:rsidRDefault="00D713D6" w:rsidP="009A6A45">
      <w:pPr>
        <w:tabs>
          <w:tab w:val="num" w:pos="0"/>
        </w:tabs>
        <w:spacing w:after="0" w:line="240" w:lineRule="auto"/>
        <w:ind w:left="705" w:hanging="705"/>
        <w:jc w:val="both"/>
        <w:rPr>
          <w:b/>
        </w:rPr>
      </w:pPr>
      <w:r>
        <w:rPr>
          <w:b/>
        </w:rPr>
        <w:t>9.</w:t>
      </w:r>
      <w:r w:rsidR="00697FBF">
        <w:rPr>
          <w:b/>
        </w:rPr>
        <w:t>5</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3A11FCEA" w:rsidR="00D713D6" w:rsidRPr="001F780C" w:rsidRDefault="00D713D6" w:rsidP="009A6A45">
      <w:pPr>
        <w:tabs>
          <w:tab w:val="num" w:pos="0"/>
        </w:tabs>
        <w:spacing w:after="0" w:line="240" w:lineRule="auto"/>
        <w:ind w:left="705" w:hanging="705"/>
        <w:jc w:val="both"/>
      </w:pPr>
      <w:r>
        <w:rPr>
          <w:b/>
        </w:rPr>
        <w:t>9.</w:t>
      </w:r>
      <w:r w:rsidR="00697FBF">
        <w:rPr>
          <w:b/>
        </w:rPr>
        <w:t>6</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7C764940" w:rsidR="00D713D6" w:rsidRPr="001F780C" w:rsidRDefault="00D713D6" w:rsidP="009A6A45">
      <w:pPr>
        <w:tabs>
          <w:tab w:val="num" w:pos="0"/>
        </w:tabs>
        <w:spacing w:after="0" w:line="240" w:lineRule="auto"/>
        <w:ind w:left="705" w:hanging="705"/>
        <w:jc w:val="both"/>
      </w:pPr>
      <w:r>
        <w:rPr>
          <w:b/>
        </w:rPr>
        <w:t>9.</w:t>
      </w:r>
      <w:r w:rsidR="00697FBF">
        <w:rPr>
          <w:b/>
        </w:rPr>
        <w:t>7</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05F40D3C" w:rsidR="00D713D6" w:rsidRDefault="00D713D6" w:rsidP="00956BA5">
      <w:pPr>
        <w:tabs>
          <w:tab w:val="num" w:pos="0"/>
        </w:tabs>
        <w:spacing w:line="240" w:lineRule="auto"/>
        <w:jc w:val="both"/>
      </w:pPr>
    </w:p>
    <w:p w14:paraId="7EAC7A27" w14:textId="77777777" w:rsidR="000E513E" w:rsidRPr="001F780C" w:rsidRDefault="000E513E"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lastRenderedPageBreak/>
        <w:t>Článek 1</w:t>
      </w:r>
      <w:r>
        <w:rPr>
          <w:b/>
          <w:bCs/>
        </w:rPr>
        <w:t>0</w:t>
      </w:r>
    </w:p>
    <w:p w14:paraId="1CB7C212" w14:textId="72F47747" w:rsidR="00D713D6" w:rsidRPr="001F780C" w:rsidRDefault="00D713D6" w:rsidP="0072752A">
      <w:pPr>
        <w:spacing w:after="120" w:line="240" w:lineRule="auto"/>
        <w:jc w:val="center"/>
        <w:rPr>
          <w:b/>
        </w:rPr>
      </w:pPr>
      <w:r w:rsidRPr="001F780C">
        <w:rPr>
          <w:b/>
        </w:rPr>
        <w:t>Zánik závazků</w:t>
      </w: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10335CCF" w14:textId="277C1FE9" w:rsidR="000E513E" w:rsidRPr="00101001" w:rsidRDefault="00D713D6" w:rsidP="0072752A">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54D1F8A3" w14:textId="3470C9F5" w:rsidR="00D713D6" w:rsidRPr="001F780C" w:rsidRDefault="00D713D6" w:rsidP="0072752A">
      <w:pPr>
        <w:spacing w:after="120" w:line="240" w:lineRule="auto"/>
        <w:jc w:val="center"/>
        <w:rPr>
          <w:b/>
        </w:rPr>
      </w:pPr>
      <w:r w:rsidRPr="001F780C">
        <w:rPr>
          <w:b/>
        </w:rPr>
        <w:t>Závěrečná ujednání</w:t>
      </w: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lastRenderedPageBreak/>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3A4755DA" w:rsidR="008001D7" w:rsidRDefault="00D713D6" w:rsidP="00A31F14">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4702FFFB"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792EA22A" w14:textId="20A5262C" w:rsidR="00F71C69" w:rsidRDefault="00F71C69" w:rsidP="00D713D6">
      <w:pPr>
        <w:rPr>
          <w:bCs/>
        </w:rPr>
      </w:pPr>
    </w:p>
    <w:p w14:paraId="11A16190" w14:textId="77777777" w:rsidR="0072752A" w:rsidRDefault="0072752A"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956BA5">
      <w:pPr>
        <w:spacing w:after="0"/>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41F979B9" w14:textId="77777777" w:rsidR="000E513E" w:rsidRDefault="00D4786C" w:rsidP="00B327B6">
      <w:pPr>
        <w:spacing w:after="0"/>
        <w:rPr>
          <w:bCs/>
        </w:rPr>
      </w:pPr>
      <w:r>
        <w:rPr>
          <w:bCs/>
        </w:rPr>
        <w:t>místopředseda</w:t>
      </w:r>
      <w:r w:rsidR="007C29B0" w:rsidRPr="001F780C">
        <w:rPr>
          <w:bCs/>
        </w:rPr>
        <w:t xml:space="preserve"> </w:t>
      </w:r>
      <w:r w:rsidR="00D713D6" w:rsidRPr="001F780C">
        <w:rPr>
          <w:bCs/>
        </w:rPr>
        <w:t>představenstva</w:t>
      </w:r>
      <w:r w:rsidR="00D713D6">
        <w:rPr>
          <w:bCs/>
        </w:rPr>
        <w:t xml:space="preserve">         </w:t>
      </w:r>
    </w:p>
    <w:sectPr w:rsidR="000E513E" w:rsidSect="00414D83">
      <w:headerReference w:type="default" r:id="rId9"/>
      <w:footerReference w:type="default" r:id="rId10"/>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AD310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13E"/>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66A"/>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6EC4"/>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52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A40"/>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2D0"/>
    <w:rsid w:val="00D31718"/>
    <w:rsid w:val="00D31B77"/>
    <w:rsid w:val="00D32881"/>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982"/>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45"/>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7</Pages>
  <Words>2894</Words>
  <Characters>17733</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20586</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103</cp:revision>
  <cp:lastPrinted>2018-03-07T15:02:00Z</cp:lastPrinted>
  <dcterms:created xsi:type="dcterms:W3CDTF">2016-03-14T13:59:00Z</dcterms:created>
  <dcterms:modified xsi:type="dcterms:W3CDTF">2023-03-10T13:50:00Z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